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Analysis of the VTSR-T Algorithmic Matchmaking and Rating System in Competitive Environments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Introduction: The VTSR-T Architecture vs. Modern Science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VTSR-T (VT Stats Rating - Thug)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system is a bespoke, Elo-based rating architecture designed to evaluate individual performance within complex, team-based tactical environments. While its telemetry pipeline (process_stats.py) excels at sanitizing raw event streams through robust incremental caching, identity routing, and strict volumetric participation gating, the core mathematical algorithm (elo.py) contains profound structural vulnerabilities.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Benchmarking VTSR-T against modern probabilistic tier-one standards—such as Glicko-2, Microsoft's TrueSkill 2, and the PandaSkill framework—reveals that the system sacrifices mathematical zero-sum integrity in favor of Engagement Optimized Matchmaking (EOMM) principles. This document outlines the five major systemic shortfalls of the VTSR-T algorithm, the scientific research that highlights these flaws, and a strategic roadmap to mathematically repair the system.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Systemic Shortfalls and Scientific Justifications</w:t>
      </w:r>
    </w:p>
    <w:p w:rsidR="00000000" w:rsidDel="00000000" w:rsidP="00000000" w:rsidRDefault="00000000" w:rsidRPr="00000000" w14:paraId="0000000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2.1 The Predictive Validation Gap (The "Skill Issues" Gap)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most glaring architectural flaw in VTSR-T is its validation methodology: the system lacks empirical proof that it can accurately predict match outcomes.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444746"/>
          <w:sz w:val="24"/>
          <w:szCs w:val="24"/>
          <w:vertAlign w:val="superscript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In modern matchmaking literature, the ultimate test of a rating algorithm is its predictive accuracy, often measured via log-loss. A 2024 study from the University of Cambridge, titled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"Skill Issues: An Analysis of CS:GO Skill Rating Systems,"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performed a rigorous empirical evaluation of matchmaking algorithms (including Elo, Glicko-2, and TrueSkill) using a surrogate modeling framework named skillbench.</w:t>
      </w:r>
      <w:r w:rsidDel="00000000" w:rsidR="00000000" w:rsidRPr="00000000">
        <w:rPr>
          <w:rFonts w:ascii="Google Sans" w:cs="Google Sans" w:eastAsia="Google Sans" w:hAnsi="Google Sans"/>
          <w:color w:val="444746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Testing on a massive dataset of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Counter-Strike: Global Offensive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(CS:GO) matches, their best-performing individual tracking variant (TrueSkillPlayers) achieved a 64.1% predictive accuracy rate.</w:t>
      </w:r>
      <w:r w:rsidDel="00000000" w:rsidR="00000000" w:rsidRPr="00000000">
        <w:rPr>
          <w:rFonts w:ascii="Google Sans" w:cs="Google Sans" w:eastAsia="Google Sans" w:hAnsi="Google Sans"/>
          <w:color w:val="444746"/>
          <w:sz w:val="24"/>
          <w:szCs w:val="24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Because VTSR-T calculates a composite z-score matrix (</w:t>
      </w:r>
      <w:r w:rsidDel="00000000" w:rsidR="00000000" w:rsidRPr="00000000">
        <w:rPr>
          <w:rFonts w:ascii="Google Sans" w:cs="Google Sans" w:eastAsia="Google Sans" w:hAnsi="Google Sans"/>
          <w:color w:val="1f1f1f"/>
        </w:rPr>
        <w:drawing>
          <wp:inline distB="19050" distT="19050" distL="19050" distR="19050">
            <wp:extent cx="161478" cy="218471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478" cy="2184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 rather than testing its output against held-out datasets to predict future outcomes, it acts as an arbitrary leaderboard score rather than a scientifically validated reflection of "true skill." There is currently no mathematical verification that a VTSR-T rating of 1800 will reliably predict a higher performance than a 1400 rating.</w:t>
      </w:r>
    </w:p>
    <w:p w:rsidR="00000000" w:rsidDel="00000000" w:rsidP="00000000" w:rsidRDefault="00000000" w:rsidRPr="00000000" w14:paraId="0000000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2.2 The Mathematical Fallacy of the Median Baseline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To calculate the expected performance curve (</w:t>
      </w:r>
      <w:r w:rsidDel="00000000" w:rsidR="00000000" w:rsidRPr="00000000">
        <w:rPr>
          <w:rFonts w:ascii="Google Sans" w:cs="Google Sans" w:eastAsia="Google Sans" w:hAnsi="Google Sans"/>
          <w:color w:val="1f1f1f"/>
        </w:rPr>
        <w:drawing>
          <wp:inline distB="19050" distT="19050" distL="19050" distR="19050">
            <wp:extent cx="201662" cy="249677"/>
            <wp:effectExtent b="0" l="0" r="0" t="0"/>
            <wp:docPr id="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1662" cy="2496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), VTSR-T compares a player against the mathematical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median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of the opposition (</w:t>
      </w:r>
      <w:r w:rsidDel="00000000" w:rsidR="00000000" w:rsidRPr="00000000">
        <w:rPr>
          <w:rFonts w:ascii="Google Sans" w:cs="Google Sans" w:eastAsia="Google Sans" w:hAnsi="Google Sans"/>
          <w:color w:val="1f1f1f"/>
        </w:rPr>
        <w:drawing>
          <wp:inline distB="19050" distT="19050" distL="19050" distR="19050">
            <wp:extent cx="205830" cy="233897"/>
            <wp:effectExtent b="0" l="0" r="0" t="0"/>
            <wp:docPr id="2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5830" cy="2338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). While utilizing the median protects the algorithm from being skewed by extreme outliers, it fundamentally misunderstands tactical game dynamics.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444746"/>
          <w:sz w:val="24"/>
          <w:szCs w:val="24"/>
          <w:vertAlign w:val="superscript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Recent research into team skill aggregation explicitly cautions against this. In a 2021 study analyzing over 100,000 competitive matches across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PUBG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League of Legends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and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CS:GO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Dehpanah et al. empirically proved that the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MAX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aggregation method is superior to the SUM, MIN, or Mean/Median methods.</w:t>
      </w:r>
      <w:r w:rsidDel="00000000" w:rsidR="00000000" w:rsidRPr="00000000">
        <w:rPr>
          <w:rFonts w:ascii="Google Sans" w:cs="Google Sans" w:eastAsia="Google Sans" w:hAnsi="Google Sans"/>
          <w:color w:val="444746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The study concluded that in tactical shooters and battle royales, the overall performance and threat level of a team is best determined by the performance of its most skilled member.</w:t>
      </w:r>
      <w:r w:rsidDel="00000000" w:rsidR="00000000" w:rsidRPr="00000000">
        <w:rPr>
          <w:rFonts w:ascii="Google Sans" w:cs="Google Sans" w:eastAsia="Google Sans" w:hAnsi="Google Sans"/>
          <w:color w:val="444746"/>
          <w:sz w:val="24"/>
          <w:szCs w:val="24"/>
          <w:vertAlign w:val="superscript"/>
          <w:rtl w:val="0"/>
        </w:rPr>
        <w:t xml:space="preserve">2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By using the median, VTSR-T smooths out the impact of a high-Elo "carry." If a lobby contains four 1100-rated players and one 2500-rated player, the median remains firmly anchored near 1100. VTSR-T mathematically ignores the massive lethality the 2500-rated player brings, resulting in flawed expected performance curves.</w:t>
      </w:r>
    </w:p>
    <w:p w:rsidR="00000000" w:rsidDel="00000000" w:rsidP="00000000" w:rsidRDefault="00000000" w:rsidRPr="00000000" w14:paraId="0000000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2.3 Deterministic K-Factor vs. True Bayesian Uncertainty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VTSR-T utilizes a decaying K-factor (</w:t>
      </w:r>
      <w:r w:rsidDel="00000000" w:rsidR="00000000" w:rsidRPr="00000000">
        <w:rPr>
          <w:rFonts w:ascii="Google Sans" w:cs="Google Sans" w:eastAsia="Google Sans" w:hAnsi="Google Sans"/>
          <w:color w:val="1f1f1f"/>
        </w:rPr>
        <w:drawing>
          <wp:inline distB="19050" distT="19050" distL="19050" distR="19050">
            <wp:extent cx="197347" cy="216141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7347" cy="2161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 that reduces rating volatility simply as a player accumulates more absolute matches. It treats a veteran player who hasn't logged in for three years identically to a veteran who played yesterday, locking their K-factor at the absolute floor of 12.0 (ELO_K_FLOOR).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This deterministic approach ignores the critical temporal dimension of skill decay utilized in genuine probabilistic systems: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Glicko-2: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This system tracks both a player's rating and a Rating Deviation (</w:t>
      </w:r>
      <w:r w:rsidDel="00000000" w:rsidR="00000000" w:rsidRPr="00000000">
        <w:rPr>
          <w:rFonts w:ascii="Google Sans" w:cs="Google Sans" w:eastAsia="Google Sans" w:hAnsi="Google Sans"/>
          <w:color w:val="1f1f1f"/>
        </w:rPr>
        <w:drawing>
          <wp:inline distB="19050" distT="19050" distL="19050" distR="19050">
            <wp:extent cx="280392" cy="22238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0392" cy="2223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 confidence interval.</w:t>
      </w:r>
      <w:r w:rsidDel="00000000" w:rsidR="00000000" w:rsidRPr="00000000">
        <w:rPr>
          <w:rFonts w:ascii="Google Sans" w:cs="Google Sans" w:eastAsia="Google Sans" w:hAnsi="Google Sans"/>
          <w:color w:val="444746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Crucially, as Glickman outlines in the Glicko-2 mathematics, </w:t>
      </w:r>
      <w:r w:rsidDel="00000000" w:rsidR="00000000" w:rsidRPr="00000000">
        <w:rPr>
          <w:rFonts w:ascii="Google Sans" w:cs="Google Sans" w:eastAsia="Google Sans" w:hAnsi="Google Sans"/>
          <w:color w:val="1f1f1f"/>
        </w:rPr>
        <w:drawing>
          <wp:inline distB="19050" distT="19050" distL="19050" distR="19050">
            <wp:extent cx="280392" cy="222380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0392" cy="2223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is designed to mathematically increase over periods of inactivity, reflecting the system's decreased confidence in a stagnant player's true skill.</w:t>
      </w:r>
      <w:r w:rsidDel="00000000" w:rsidR="00000000" w:rsidRPr="00000000">
        <w:rPr>
          <w:rFonts w:ascii="Google Sans" w:cs="Google Sans" w:eastAsia="Google Sans" w:hAnsi="Google Sans"/>
          <w:color w:val="444746"/>
          <w:sz w:val="24"/>
          <w:szCs w:val="24"/>
          <w:vertAlign w:val="superscript"/>
          <w:rtl w:val="0"/>
        </w:rPr>
        <w:t xml:space="preserve">4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TrueSkill 2: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Microsoft's TrueSkill 2 system (deployed in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Halo 5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 improved match prediction accuracy from 52% to 68% precisely by evaluating latent, time-variant metrics.</w:t>
      </w:r>
      <w:r w:rsidDel="00000000" w:rsidR="00000000" w:rsidRPr="00000000">
        <w:rPr>
          <w:rFonts w:ascii="Google Sans" w:cs="Google Sans" w:eastAsia="Google Sans" w:hAnsi="Google Sans"/>
          <w:color w:val="444746"/>
          <w:sz w:val="24"/>
          <w:szCs w:val="24"/>
          <w:vertAlign w:val="superscript"/>
          <w:rtl w:val="0"/>
        </w:rPr>
        <w:t xml:space="preserve">5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It incorporates variables like player experience, tendency to quit, and mathematically models raw kills and deaths as a Poisson distribution where the mean and variance scale linearly with match length.</w:t>
      </w:r>
      <w:r w:rsidDel="00000000" w:rsidR="00000000" w:rsidRPr="00000000">
        <w:rPr>
          <w:rFonts w:ascii="Google Sans" w:cs="Google Sans" w:eastAsia="Google Sans" w:hAnsi="Google Sans"/>
          <w:color w:val="444746"/>
          <w:sz w:val="24"/>
          <w:szCs w:val="24"/>
          <w:vertAlign w:val="superscript"/>
          <w:rtl w:val="0"/>
        </w:rPr>
        <w:t xml:space="preserve">5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Without a mechanism to expand variance (</w:t>
      </w:r>
      <w:r w:rsidDel="00000000" w:rsidR="00000000" w:rsidRPr="00000000">
        <w:rPr>
          <w:rFonts w:ascii="Google Sans" w:cs="Google Sans" w:eastAsia="Google Sans" w:hAnsi="Google Sans"/>
          <w:color w:val="1f1f1f"/>
        </w:rPr>
        <w:drawing>
          <wp:inline distB="19050" distT="19050" distL="19050" distR="19050">
            <wp:extent cx="280392" cy="222380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0392" cy="2223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 for inactive players, the upper echelons of the VTSR-T leaderboard will stagnate, displaying historical peaks rather than actively validated skill.</w:t>
      </w:r>
    </w:p>
    <w:p w:rsidR="00000000" w:rsidDel="00000000" w:rsidP="00000000" w:rsidRDefault="00000000" w:rsidRPr="00000000" w14:paraId="0000001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2.4 Hand-Tuned Priors Compromise Empirical Integrity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To compensate for role asymmetries (e.g., Commanders generating fewer combat kills), VTSR-T implements Bayesian shrinkage to adjust expectations. However, the system fundamentally corrupts this methodology by employing "Hand-Tuned Locked Priors." For example, the script actively inverts the empirical </w:t>
      </w:r>
      <w:r w:rsidDel="00000000" w:rsidR="00000000" w:rsidRPr="00000000">
        <w:rPr>
          <w:rFonts w:ascii="Google Sans" w:cs="Google Sans" w:eastAsia="Google Sans" w:hAnsi="Google Sans"/>
          <w:color w:val="1f1f1f"/>
        </w:rPr>
        <w:drawing>
          <wp:inline distB="19050" distT="19050" distL="19050" distR="19050">
            <wp:extent cx="598884" cy="237653"/>
            <wp:effectExtent b="0" l="0" r="0" t="0"/>
            <wp:docPr id="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8884" cy="2376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audit for pve_share by locking the prior at </w:t>
      </w:r>
      <w:r w:rsidDel="00000000" w:rsidR="00000000" w:rsidRPr="00000000">
        <w:rPr>
          <w:rFonts w:ascii="Google Sans" w:cs="Google Sans" w:eastAsia="Google Sans" w:hAnsi="Google Sans"/>
          <w:color w:val="1f1f1f"/>
        </w:rPr>
        <w:drawing>
          <wp:inline distB="19050" distT="19050" distL="19050" distR="19050">
            <wp:extent cx="500956" cy="236300"/>
            <wp:effectExtent b="0" l="0" r="0" t="0"/>
            <wp:docPr id="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0956" cy="236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to artificially "reward and boost the PvE work commanders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should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be doing."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Modern esports analytics have solved role-based asymmetry without resorting to mathematical manipulation. The 2025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PandaSkill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framework, developed for professional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League of Legends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leverages machine learning to independently model each in-game role (Support vs. Jungler) to ensure fair statistical comparisons.</w:t>
      </w:r>
      <w:r w:rsidDel="00000000" w:rsidR="00000000" w:rsidRPr="00000000">
        <w:rPr>
          <w:rFonts w:ascii="Google Sans" w:cs="Google Sans" w:eastAsia="Google Sans" w:hAnsi="Google Sans"/>
          <w:color w:val="444746"/>
          <w:sz w:val="24"/>
          <w:szCs w:val="24"/>
          <w:vertAlign w:val="superscript"/>
          <w:rtl w:val="0"/>
        </w:rPr>
        <w:t xml:space="preserve">6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It then updates player skill ratings using the Bayesian OpenSkill framework strictly based on actual, observed performance scores.</w:t>
      </w:r>
      <w:r w:rsidDel="00000000" w:rsidR="00000000" w:rsidRPr="00000000">
        <w:rPr>
          <w:rFonts w:ascii="Google Sans" w:cs="Google Sans" w:eastAsia="Google Sans" w:hAnsi="Google Sans"/>
          <w:color w:val="444746"/>
          <w:sz w:val="24"/>
          <w:szCs w:val="24"/>
          <w:vertAlign w:val="superscript"/>
          <w:rtl w:val="0"/>
        </w:rPr>
        <w:t xml:space="preserve">7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By dictating what a role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should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do rather than measuring what it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actually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does, VTSR-T ceases to be an objective skill evaluator and operates as a behavioral conditioning tool.</w:t>
      </w:r>
    </w:p>
    <w:p w:rsidR="00000000" w:rsidDel="00000000" w:rsidP="00000000" w:rsidRDefault="00000000" w:rsidRPr="00000000" w14:paraId="0000001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2.5 Engagement Optimization (EOMM) vs. Skill Accuracy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VTSR-T implements a 1000.0 soft floor taper (ELO_FLOOR_TAPER_WINDOW) and a 0.85 loss-aversion multiplier (ELO_K_LOSS_AVERSION). Winning grants a full rating delta, while losing is mathematically dampened. This is a direct application of Engagement Optimized Matchmaking (EOMM), prioritizing psychological safety over statistical accuracy.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The scientific consensus on EOMM overwhelmingly supports this retention strategy, but highlights its incompatibility with pure skill measurement: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The Flaw of 50% Win Rates: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Chen et al. (2017) proved mathematically and via EA Games data that equal-skill matchmaking (a 50% win probability) rarely maximizes player engagement, proposing EOMM frameworks instead.</w:t>
      </w:r>
      <w:r w:rsidDel="00000000" w:rsidR="00000000" w:rsidRPr="00000000">
        <w:rPr>
          <w:rFonts w:ascii="Google Sans" w:cs="Google Sans" w:eastAsia="Google Sans" w:hAnsi="Google Sans"/>
          <w:color w:val="444746"/>
          <w:sz w:val="24"/>
          <w:szCs w:val="24"/>
          <w:vertAlign w:val="superscript"/>
          <w:rtl w:val="0"/>
        </w:rPr>
        <w:t xml:space="preserve">8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The Impact of Losing Streaks: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Elmachtoub et al. (2024/2026) published findings in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Management Science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demonstrating that players consistently churn after experiencing losing streaks, and that optimal matchmaking must adjust skill distributions to account for this loss aversion.</w:t>
      </w:r>
      <w:r w:rsidDel="00000000" w:rsidR="00000000" w:rsidRPr="00000000">
        <w:rPr>
          <w:rFonts w:ascii="Google Sans" w:cs="Google Sans" w:eastAsia="Google Sans" w:hAnsi="Google Sans"/>
          <w:color w:val="444746"/>
          <w:sz w:val="24"/>
          <w:szCs w:val="24"/>
          <w:vertAlign w:val="superscript"/>
          <w:rtl w:val="0"/>
        </w:rPr>
        <w:t xml:space="preserve">9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Weaker Opponents Prevent Churn: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Kang et al. (2024) analyzed over six million matches of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Everybody's Marble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in the journal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Heliyon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finding that being matched with weaker opponents actually decreases the possibility of churn more effectively than fair matches against equally skilled opponents.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While VTSR-T's loss aversion multiplier successfully prevents churn, it creates a highly inflationary rating economy. Average ratings artificially creep upward purely through sustained participation (grinding), destroying the zero-sum integrity of the Elo ladder.</w:t>
      </w:r>
    </w:p>
    <w:p w:rsidR="00000000" w:rsidDel="00000000" w:rsidP="00000000" w:rsidRDefault="00000000" w:rsidRPr="00000000" w14:paraId="0000001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Strategic Fixes and Technical Roadmap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Transitioning VTSR-T from an inflationary engagement leaderboard into a scientifically validated skill evaluator requires direct interventions in the Python rating pipeline (elo.py).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55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Issue Addressed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Proposed Technical Fix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Implementation Strategy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Predictive Validation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Implement </w:t>
            </w: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  <w:drawing>
                <wp:inline distB="19050" distT="19050" distL="19050" distR="19050">
                  <wp:extent cx="161478" cy="218471"/>
                  <wp:effectExtent b="0" l="0" r="0" t="0"/>
                  <wp:docPr id="1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78" cy="21847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 Benchmarking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Build a skillbench-style emulator.</w:t>
            </w:r>
            <w:r w:rsidDel="00000000" w:rsidR="00000000" w:rsidRPr="00000000">
              <w:rPr>
                <w:rFonts w:ascii="Google Sans" w:cs="Google Sans" w:eastAsia="Google Sans" w:hAnsi="Google Sans"/>
                <w:color w:val="444746"/>
                <w:sz w:val="24"/>
                <w:szCs w:val="24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 Use the composite performance metric (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</w:rPr>
              <w:drawing>
                <wp:inline distB="19050" distT="19050" distL="19050" distR="19050">
                  <wp:extent cx="161478" cy="218471"/>
                  <wp:effectExtent b="0" l="0" r="0" t="0"/>
                  <wp:docPr id="10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78" cy="21847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) as the validation target. Calculate log-loss to determine if a mathematically higher pre-match rating reliably predicts a higher 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</w:rPr>
              <w:drawing>
                <wp:inline distB="19050" distT="19050" distL="19050" distR="19050">
                  <wp:extent cx="161478" cy="218471"/>
                  <wp:effectExtent b="0" l="0" r="0" t="0"/>
                  <wp:docPr id="1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78" cy="21847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 in upcoming matches.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Baseline Fallacy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Shift to MAX Threat Topology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Deprecate 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</w:rPr>
              <w:drawing>
                <wp:inline distB="19050" distT="19050" distL="19050" distR="19050">
                  <wp:extent cx="1361037" cy="218908"/>
                  <wp:effectExtent b="0" l="0" r="0" t="0"/>
                  <wp:docPr id="1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1037" cy="21890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. Replace it with an aggregated baseline that heavily weights the maximum opposing rating </w:t>
            </w:r>
            <w:r w:rsidDel="00000000" w:rsidR="00000000" w:rsidRPr="00000000">
              <w:rPr>
                <w:rFonts w:ascii="Google Sans" w:cs="Google Sans" w:eastAsia="Google Sans" w:hAnsi="Google Sans"/>
                <w:color w:val="444746"/>
                <w:sz w:val="24"/>
                <w:szCs w:val="24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, acknowledging the disproportionate impact of high-Elo "carries" in tactical shooters.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Temporal Stagnation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Adopt True Bayesian </w:t>
            </w: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  <w:drawing>
                <wp:inline distB="19050" distT="19050" distL="19050" distR="19050">
                  <wp:extent cx="280392" cy="222380"/>
                  <wp:effectExtent b="0" l="0" r="0" t="0"/>
                  <wp:docPr id="1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392" cy="222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444746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Deprecate the deterministic match-count 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</w:rPr>
              <w:drawing>
                <wp:inline distB="19050" distT="19050" distL="19050" distR="19050">
                  <wp:extent cx="197347" cy="216141"/>
                  <wp:effectExtent b="0" l="0" r="0" t="0"/>
                  <wp:docPr id="15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47" cy="2161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 factor. Introduce a time-based Glicko-2 Rating Deviation (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</w:rPr>
              <w:drawing>
                <wp:inline distB="19050" distT="19050" distL="19050" distR="19050">
                  <wp:extent cx="280392" cy="222380"/>
                  <wp:effectExtent b="0" l="0" r="0" t="0"/>
                  <wp:docPr id="1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392" cy="222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). If a player hasn't played in an extended period, their 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</w:rPr>
              <w:drawing>
                <wp:inline distB="19050" distT="19050" distL="19050" distR="19050">
                  <wp:extent cx="280392" cy="222380"/>
                  <wp:effectExtent b="0" l="0" r="0" t="0"/>
                  <wp:docPr id="1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392" cy="2223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 must expand, mathematically increasing the volatility of their next rating update.</w:t>
            </w:r>
            <w:r w:rsidDel="00000000" w:rsidR="00000000" w:rsidRPr="00000000">
              <w:rPr>
                <w:rFonts w:ascii="Google Sans" w:cs="Google Sans" w:eastAsia="Google Sans" w:hAnsi="Google Sans"/>
                <w:color w:val="444746"/>
                <w:sz w:val="24"/>
                <w:szCs w:val="24"/>
                <w:vertAlign w:val="superscript"/>
                <w:rtl w:val="0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Priors Corruption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Un-lock Hand-Tuned Priors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Clear the COMMANDER_BASELINE_LOCKED_AXES. Allow the Bayesian shrinkage to adapt entirely to the empirical running mean of role outputs (like the PandaSkill OpenSkill framework).</w:t>
            </w:r>
            <w:r w:rsidDel="00000000" w:rsidR="00000000" w:rsidRPr="00000000">
              <w:rPr>
                <w:rFonts w:ascii="Google Sans" w:cs="Google Sans" w:eastAsia="Google Sans" w:hAnsi="Google Sans"/>
                <w:color w:val="444746"/>
                <w:sz w:val="24"/>
                <w:szCs w:val="24"/>
                <w:vertAlign w:val="superscript"/>
                <w:rtl w:val="0"/>
              </w:rPr>
              <w:t xml:space="preserve">7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 Stop manually overriding math to force behavioral compliance.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EOMM Inflation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Decouple Skill from Engagement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f8fafd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Google Sans" w:cs="Google Sans" w:eastAsia="Google Sans" w:hAnsi="Google Sans"/>
                <w:color w:val="444746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Execute a dual-track architecture (similar to </w:t>
            </w:r>
            <w:r w:rsidDel="00000000" w:rsidR="00000000" w:rsidRPr="00000000">
              <w:rPr>
                <w:rFonts w:ascii="Google Sans" w:cs="Google Sans" w:eastAsia="Google Sans" w:hAnsi="Google Sans"/>
                <w:i w:val="1"/>
                <w:iCs w:val="1"/>
                <w:color w:val="1f1f1f"/>
                <w:shd w:fill="auto" w:val="clear"/>
                <w:rtl w:val="0"/>
              </w:rPr>
              <w:t xml:space="preserve">Counter-Strike 2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). Maintain a pure, zero-sum </w:t>
            </w: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Hidden MMR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 (no soft floors, no 0.85 loss multipliers) strictly for accurate matchmaking/prediction, while keeping the current inflationary </w:t>
            </w: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shd w:fill="auto" w:val="clear"/>
                <w:rtl w:val="0"/>
              </w:rPr>
              <w:t xml:space="preserve">Display Rating</w:t>
            </w: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shd w:fill="auto" w:val="clear"/>
                <w:rtl w:val="0"/>
              </w:rPr>
              <w:t xml:space="preserve"> to mitigate churn and loss aversion.</w:t>
            </w:r>
            <w:r w:rsidDel="00000000" w:rsidR="00000000" w:rsidRPr="00000000">
              <w:rPr>
                <w:rFonts w:ascii="Google Sans" w:cs="Google Sans" w:eastAsia="Google Sans" w:hAnsi="Google Sans"/>
                <w:color w:val="444746"/>
                <w:sz w:val="24"/>
                <w:szCs w:val="24"/>
                <w:vertAlign w:val="superscript"/>
                <w:rtl w:val="0"/>
              </w:rPr>
              <w:t xml:space="preserve">10</w:t>
            </w:r>
          </w:p>
        </w:tc>
      </w:tr>
    </w:tbl>
    <w:p w:rsidR="00000000" w:rsidDel="00000000" w:rsidP="00000000" w:rsidRDefault="00000000" w:rsidRPr="00000000" w14:paraId="0000003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Google Sans" w:cs="Google Sans" w:eastAsia="Google Sans" w:hAnsi="Google Sans"/>
        </w:rPr>
      </w:pPr>
      <w:r w:rsidDel="00000000" w:rsidR="00000000" w:rsidRPr="00000000">
        <w:rPr>
          <w:rFonts w:ascii="Google Sans" w:cs="Google Sans" w:eastAsia="Google Sans" w:hAnsi="Google Sans"/>
          <w:rtl w:val="0"/>
        </w:rPr>
        <w:t xml:space="preserve">Works cited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[Revue de papier] Skill Issues: An Analysis of CS:GO Skill Rating Systems - Moonlight, accessed May 26, 2026, </w:t>
      </w:r>
      <w:hyperlink r:id="rId14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https://www.themoonlight.io/fr/review/skill-issues-an-analysis-of-csgo-skill-rating-systems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[2106.11397] Evaluating Team Skill Aggregation in Online Competitive Games - arXiv, accessed May 26, 2026, </w:t>
      </w:r>
      <w:hyperlink r:id="rId15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https://arxiv.org/abs/2106.11397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Example of the Glicko-2 system - Mark Glickman, accessed May 26, 2026, </w:t>
      </w:r>
      <w:hyperlink r:id="rId16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https://www.glicko.net/glicko/glicko2.pdf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Glicko rating system - Wikipedia, accessed May 26, 2026, </w:t>
      </w:r>
      <w:hyperlink r:id="rId17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https://en.wikipedia.org/wiki/Glicko_rating_system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TrueSkill 2: An improved Bayesian skill rating system - Microsoft, accessed May 26, 2026, </w:t>
      </w:r>
      <w:hyperlink r:id="rId18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https://www.microsoft.com/en-us/research/wp-content/uploads/2018/03/trueskill2.pdf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PandaSkill - Player Performance and Skill Rating in Esports: Application to League of Legends - arXiv, accessed May 26, 2026, </w:t>
      </w:r>
      <w:hyperlink r:id="rId19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https://arxiv.org/pdf/2501.10049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PandaScore Launches PandaSkill for League of Legends | iGaming Future, accessed May 26, 2026, </w:t>
      </w:r>
      <w:hyperlink r:id="rId20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https://igamingfuture.com/pandascore-launches-pandaskill-for-league-of-legends/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EOMM: An Engagement Optimized Matchmaking Framework - Computer Science, accessed May 26, 2026, </w:t>
      </w:r>
      <w:hyperlink r:id="rId21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http://web.cs.ucla.edu/~yzsun/papers/WWW17Chen_EOMM.pdf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Matchmaking Strategies for Maximizing Player Engagement in Video Games - PubsOnLine, accessed May 26, 2026, </w:t>
      </w:r>
      <w:hyperlink r:id="rId22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https://pubsonline.informs.org/doi/10.1287/mnsc.2023.02957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Fonts w:ascii="Google Sans" w:cs="Google Sans" w:eastAsia="Google Sans" w:hAnsi="Google Sans"/>
          <w:sz w:val="24"/>
          <w:szCs w:val="24"/>
          <w:rtl w:val="0"/>
        </w:rPr>
        <w:t xml:space="preserve">CS2 Ranks and Premier Rating Explained: Full 2025 Guide | DMarket | Blog, accessed May 26, 2026, </w:t>
      </w:r>
      <w:hyperlink r:id="rId23">
        <w:r w:rsidDel="00000000" w:rsidR="00000000" w:rsidRPr="00000000">
          <w:rPr>
            <w:rFonts w:ascii="Google Sans" w:cs="Google Sans" w:eastAsia="Google Sans" w:hAnsi="Google Sans"/>
            <w:color w:val="0000ee"/>
            <w:sz w:val="24"/>
            <w:szCs w:val="24"/>
            <w:u w:val="single"/>
            <w:rtl w:val="0"/>
          </w:rPr>
          <w:t xml:space="preserve">https://dmarket.com/blog/cs2-ranks/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igamingfuture.com/pandascore-launches-pandaskill-for-league-of-legends/" TargetMode="External"/><Relationship Id="rId11" Type="http://schemas.openxmlformats.org/officeDocument/2006/relationships/image" Target="media/image4.png"/><Relationship Id="rId22" Type="http://schemas.openxmlformats.org/officeDocument/2006/relationships/hyperlink" Target="https://pubsonline.informs.org/doi/10.1287/mnsc.2023.02957" TargetMode="External"/><Relationship Id="rId10" Type="http://schemas.openxmlformats.org/officeDocument/2006/relationships/image" Target="media/image1.png"/><Relationship Id="rId21" Type="http://schemas.openxmlformats.org/officeDocument/2006/relationships/hyperlink" Target="http://web.cs.ucla.edu/~yzsun/papers/WWW17Chen_EOMM.pdf" TargetMode="External"/><Relationship Id="rId13" Type="http://schemas.openxmlformats.org/officeDocument/2006/relationships/image" Target="media/image2.png"/><Relationship Id="rId12" Type="http://schemas.openxmlformats.org/officeDocument/2006/relationships/image" Target="media/image6.png"/><Relationship Id="rId23" Type="http://schemas.openxmlformats.org/officeDocument/2006/relationships/hyperlink" Target="https://dmarket.com/blog/cs2-ranks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5" Type="http://schemas.openxmlformats.org/officeDocument/2006/relationships/hyperlink" Target="https://arxiv.org/abs/2106.11397" TargetMode="External"/><Relationship Id="rId14" Type="http://schemas.openxmlformats.org/officeDocument/2006/relationships/hyperlink" Target="https://www.themoonlight.io/fr/review/skill-issues-an-analysis-of-csgo-skill-rating-systems" TargetMode="External"/><Relationship Id="rId17" Type="http://schemas.openxmlformats.org/officeDocument/2006/relationships/hyperlink" Target="https://en.wikipedia.org/wiki/Glicko_rating_system" TargetMode="External"/><Relationship Id="rId16" Type="http://schemas.openxmlformats.org/officeDocument/2006/relationships/hyperlink" Target="https://www.glicko.net/glicko/glicko2.pdf" TargetMode="External"/><Relationship Id="rId5" Type="http://schemas.openxmlformats.org/officeDocument/2006/relationships/styles" Target="styles.xml"/><Relationship Id="rId19" Type="http://schemas.openxmlformats.org/officeDocument/2006/relationships/hyperlink" Target="https://arxiv.org/pdf/2501.10049" TargetMode="External"/><Relationship Id="rId6" Type="http://schemas.openxmlformats.org/officeDocument/2006/relationships/image" Target="media/image3.png"/><Relationship Id="rId18" Type="http://schemas.openxmlformats.org/officeDocument/2006/relationships/hyperlink" Target="https://www.microsoft.com/en-us/research/wp-content/uploads/2018/03/trueskill2.pdf" TargetMode="External"/><Relationship Id="rId7" Type="http://schemas.openxmlformats.org/officeDocument/2006/relationships/image" Target="media/image7.png"/><Relationship Id="rId8" Type="http://schemas.openxmlformats.org/officeDocument/2006/relationships/image" Target="media/image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